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40"/>
        <w:jc w:val="both"/>
        <w:spacing w:line="240" w:lineRule="auto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ind w:left="540"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166370</wp:posOffset>
                </wp:positionV>
                <wp:extent cx="1276350" cy="1133475"/>
                <wp:effectExtent l="19050" t="0" r="0" b="0"/>
                <wp:wrapSquare wrapText="bothSides"/>
                <wp:docPr id="1" name="Рисунок 2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27635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60288;o:allowoverlap:true;o:allowincell:true;mso-position-horizontal-relative:text;margin-left:3.8pt;mso-position-horizontal:absolute;mso-position-vertical-relative:text;margin-top:13.1pt;mso-position-vertical:absolute;width:100.5pt;height:89.2pt;mso-wrap-distance-left:9.0pt;mso-wrap-distance-top:0.0pt;mso-wrap-distance-right:9.0pt;mso-wrap-distance-bottom:0.0pt;" stroked="f" strokeweight="0.75pt">
                <v:path textboxrect="0,0,0,0"/>
                <w10:wrap type="square"/>
                <v:imagedata r:id="rId9" o:title=""/>
              </v:shape>
            </w:pict>
          </mc:Fallback>
        </mc:AlternateContent>
      </w:r>
      <w:r>
        <w:rPr>
          <w:sz w:val="28"/>
          <w:szCs w:val="28"/>
        </w:rPr>
        <w:t xml:space="preserve">Выдержка из </w:t>
      </w:r>
      <w:r>
        <w:rPr>
          <w:sz w:val="28"/>
          <w:szCs w:val="28"/>
        </w:rPr>
        <w:t xml:space="preserve">Федерального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от 21.11.2011 N 323-ФЗ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"Об основах охраны здоровья граждан в Российской Федерации"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04"/>
        <w:ind w:firstLine="540"/>
        <w:spacing w:line="240" w:lineRule="auto"/>
        <w:rPr>
          <w:sz w:val="28"/>
          <w:szCs w:val="28"/>
        </w:rPr>
        <w:outlineLvl w:val="1"/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04"/>
        <w:ind w:firstLine="0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Права пациента</w:t>
      </w:r>
      <w:r>
        <w:rPr>
          <w:sz w:val="28"/>
          <w:szCs w:val="28"/>
        </w:rPr>
      </w:r>
    </w:p>
    <w:p>
      <w:pPr>
        <w:pStyle w:val="604"/>
        <w:ind w:firstLine="540"/>
        <w:jc w:val="center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  <w:outlineLvl w:val="1"/>
      </w:pPr>
      <w:r>
        <w:rPr>
          <w:rFonts w:ascii="Times New Roman" w:hAnsi="Times New Roman" w:cs="Times New Roman"/>
          <w:b/>
          <w:sz w:val="28"/>
          <w:szCs w:val="28"/>
          <w:u w:val="single"/>
        </w:rPr>
      </w:r>
      <w:r>
        <w:rPr>
          <w:sz w:val="28"/>
          <w:szCs w:val="28"/>
        </w:rPr>
      </w:r>
    </w:p>
    <w:p>
      <w:pPr>
        <w:ind w:firstLine="540"/>
        <w:jc w:val="both"/>
        <w:spacing w:before="0" w:beforeAutospacing="0" w:line="240" w:lineRule="auto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Пациент имеет право на:</w:t>
      </w:r>
      <w:r>
        <w:rPr>
          <w:sz w:val="28"/>
          <w:szCs w:val="28"/>
        </w:rPr>
      </w:r>
    </w:p>
    <w:p>
      <w:pPr>
        <w:ind w:left="0" w:right="0" w:firstLine="540"/>
        <w:jc w:val="both"/>
        <w:spacing w:before="0" w:beforeAutospacing="0" w:after="0" w:line="240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1) выбор врача и выбор медицинской организации в соответствии с настоящим Федеральным законом;</w:t>
      </w:r>
      <w:r>
        <w:rPr>
          <w:sz w:val="28"/>
          <w:szCs w:val="28"/>
        </w:rPr>
      </w:r>
    </w:p>
    <w:p>
      <w:pPr>
        <w:ind w:left="0" w:right="0" w:firstLine="540"/>
        <w:jc w:val="both"/>
        <w:spacing w:before="0" w:beforeAutospacing="0" w:after="0" w:line="240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hyperlink r:id="rId10" w:tooltip="https://login.consultant.ru/link/?req=doc&amp;base=LAW&amp;n=159501&amp;date=01.02.2023" w:history="1">
        <w:r>
          <w:rPr>
            <w:rStyle w:val="173"/>
            <w:rFonts w:ascii="Times New Roman" w:hAnsi="Times New Roman" w:eastAsia="Times New Roman" w:cs="Times New Roman"/>
            <w:color w:val="000000" w:themeColor="text1"/>
            <w:sz w:val="28"/>
            <w:szCs w:val="28"/>
            <w:u w:val="none"/>
          </w:rPr>
          <w:t xml:space="preserve">требованиям</w:t>
        </w:r>
      </w:hyperlink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ind w:left="0" w:right="0" w:firstLine="540"/>
        <w:jc w:val="both"/>
        <w:spacing w:before="0" w:beforeAutospacing="0" w:after="0" w:line="240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3) получение консультаций врачей-специалистов;</w:t>
      </w:r>
      <w:r>
        <w:rPr>
          <w:sz w:val="28"/>
          <w:szCs w:val="28"/>
        </w:rPr>
      </w:r>
    </w:p>
    <w:p>
      <w:pPr>
        <w:ind w:left="0" w:right="0" w:firstLine="540"/>
        <w:jc w:val="both"/>
        <w:spacing w:before="0" w:beforeAutospacing="0" w:after="0" w:line="240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  <w:r>
        <w:rPr>
          <w:sz w:val="28"/>
          <w:szCs w:val="28"/>
        </w:rPr>
      </w:r>
    </w:p>
    <w:p>
      <w:pPr>
        <w:ind w:left="0" w:right="0" w:firstLine="540"/>
        <w:jc w:val="both"/>
        <w:spacing w:before="0" w:beforeAutospacing="0" w:after="0" w:line="240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здоровья, в том числе после его смерти;</w:t>
      </w:r>
      <w:r>
        <w:rPr>
          <w:sz w:val="28"/>
          <w:szCs w:val="28"/>
        </w:rPr>
      </w:r>
    </w:p>
    <w:p>
      <w:pPr>
        <w:ind w:left="0" w:right="0" w:firstLine="540"/>
        <w:jc w:val="both"/>
        <w:spacing w:before="0" w:beforeAutospacing="0" w:after="0" w:line="240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6) получение лечебного питания в случае нахождения пациента на лечении в стационарных условиях;</w:t>
      </w:r>
      <w:r>
        <w:rPr>
          <w:sz w:val="28"/>
          <w:szCs w:val="28"/>
        </w:rPr>
      </w:r>
    </w:p>
    <w:p>
      <w:pPr>
        <w:ind w:left="0" w:right="0" w:firstLine="540"/>
        <w:jc w:val="both"/>
        <w:spacing w:before="0" w:beforeAutospacing="0" w:after="0" w:line="240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7) защиту сведений, составляющих врачебную тайну;</w:t>
      </w:r>
      <w:r>
        <w:rPr>
          <w:sz w:val="28"/>
          <w:szCs w:val="28"/>
        </w:rPr>
      </w:r>
    </w:p>
    <w:p>
      <w:pPr>
        <w:ind w:left="0" w:right="0" w:firstLine="540"/>
        <w:jc w:val="both"/>
        <w:spacing w:before="0" w:beforeAutospacing="0" w:after="0" w:line="240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8) отказ от медицинского вмешательства;</w:t>
      </w:r>
      <w:r>
        <w:rPr>
          <w:sz w:val="28"/>
          <w:szCs w:val="28"/>
        </w:rPr>
      </w:r>
    </w:p>
    <w:p>
      <w:pPr>
        <w:ind w:left="0" w:right="0" w:firstLine="540"/>
        <w:jc w:val="both"/>
        <w:spacing w:before="0" w:beforeAutospacing="0" w:after="0" w:line="240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9) возмещение вреда, причиненного здоровью при оказании ему медицинской помощи;</w:t>
      </w:r>
      <w:r>
        <w:rPr>
          <w:sz w:val="28"/>
          <w:szCs w:val="28"/>
        </w:rPr>
      </w:r>
    </w:p>
    <w:p>
      <w:pPr>
        <w:ind w:left="0" w:right="0" w:firstLine="540"/>
        <w:jc w:val="both"/>
        <w:spacing w:before="0" w:beforeAutospacing="0" w:after="0" w:line="240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10) допуск к нему адвоката или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 </w:t>
      </w:r>
      <w:hyperlink r:id="rId11" w:tooltip="https://login.consultant.ru/link/?req=doc&amp;base=LAW&amp;n=99661&amp;dst=100004&amp;field=134&amp;date=01.02.2023" w:history="1">
        <w:r>
          <w:rPr>
            <w:rStyle w:val="173"/>
            <w:rFonts w:ascii="Times New Roman" w:hAnsi="Times New Roman" w:eastAsia="Times New Roman" w:cs="Times New Roman"/>
            <w:color w:val="000000" w:themeColor="text1"/>
            <w:sz w:val="28"/>
            <w:szCs w:val="28"/>
            <w:u w:val="none"/>
          </w:rPr>
          <w:t xml:space="preserve">законного представителя</w:t>
        </w:r>
      </w:hyperlink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 дл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я защиты своих прав; </w:t>
      </w:r>
      <w:r>
        <w:rPr>
          <w:sz w:val="28"/>
          <w:szCs w:val="28"/>
        </w:rPr>
      </w:r>
    </w:p>
    <w:p>
      <w:pPr>
        <w:ind w:left="0" w:right="0" w:firstLine="540"/>
        <w:jc w:val="both"/>
        <w:spacing w:before="0" w:beforeAutospacing="0" w:after="0" w:line="240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ьного помещения, если это не нарушает внутренний распорядок медицинской организации.</w:t>
      </w:r>
      <w:r>
        <w:rPr>
          <w:sz w:val="28"/>
          <w:szCs w:val="28"/>
        </w:rPr>
      </w:r>
    </w:p>
    <w:p>
      <w:pPr>
        <w:ind w:firstLine="540"/>
        <w:jc w:val="both"/>
        <w:spacing w:line="240" w:lineRule="auto"/>
        <w:rPr>
          <w:b/>
          <w:sz w:val="28"/>
          <w:szCs w:val="28"/>
          <w:u w:val="single"/>
        </w:rPr>
        <w:outlineLvl w:val="0"/>
      </w:pPr>
      <w:r>
        <w:rPr>
          <w:b/>
          <w:sz w:val="28"/>
          <w:szCs w:val="28"/>
          <w:u w:val="single"/>
        </w:rPr>
        <w:t xml:space="preserve">Обязанности граждан в сфере охраны здоровья:</w:t>
      </w:r>
      <w:r>
        <w:rPr>
          <w:sz w:val="28"/>
          <w:szCs w:val="28"/>
        </w:rPr>
      </w:r>
    </w:p>
    <w:p>
      <w:pPr>
        <w:ind w:firstLine="540"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Граждане обязаны заботиться о сохранении своего здоровья.</w:t>
      </w:r>
      <w:r>
        <w:rPr>
          <w:sz w:val="28"/>
          <w:szCs w:val="28"/>
        </w:rPr>
      </w:r>
    </w:p>
    <w:p>
      <w:pPr>
        <w:ind w:firstLine="540"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12" w:tooltip="consultantplus://offline/ref=72A6E6B1F5D002E7EDBD9AC8EA0FBB82F83EA29B87ACCA2DAAA71C5BD4EE7122A496C0D72D876CR2r4G" w:history="1">
        <w:r>
          <w:rPr>
            <w:color w:val="000000" w:themeColor="text1"/>
            <w:sz w:val="28"/>
            <w:szCs w:val="28"/>
          </w:rPr>
          <w:t xml:space="preserve">заболеваниями</w:t>
        </w:r>
      </w:hyperlink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  <w:r>
        <w:rPr>
          <w:sz w:val="28"/>
          <w:szCs w:val="28"/>
        </w:rPr>
      </w:r>
    </w:p>
    <w:p>
      <w:pPr>
        <w:ind w:firstLine="540"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r>
        <w:rPr>
          <w:sz w:val="28"/>
          <w:szCs w:val="28"/>
        </w:rPr>
      </w:r>
    </w:p>
    <w:p>
      <w:pPr>
        <w:pStyle w:val="604"/>
        <w:ind w:firstLine="540"/>
        <w:jc w:val="both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sz w:val="27"/>
          <w:szCs w:val="27"/>
        </w:rPr>
      </w:r>
    </w:p>
    <w:sectPr>
      <w:footnotePr/>
      <w:endnotePr/>
      <w:type w:val="nextPage"/>
      <w:pgSz w:w="11906" w:h="16838" w:orient="portrait"/>
      <w:pgMar w:top="360" w:right="850" w:bottom="60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06"/>
      <w:isLgl w:val="false"/>
      <w:suff w:val="tab"/>
      <w:lvlText w:val="%1."/>
      <w:lvlJc w:val="left"/>
      <w:pPr>
        <w:ind w:left="567" w:hanging="567"/>
        <w:tabs>
          <w:tab w:val="num" w:pos="567" w:leader="none"/>
        </w:tabs>
      </w:pPr>
    </w:lvl>
    <w:lvl w:ilvl="1">
      <w:start w:val="1"/>
      <w:numFmt w:val="decimal"/>
      <w:pStyle w:val="605"/>
      <w:isLgl w:val="false"/>
      <w:suff w:val="tab"/>
      <w:lvlText w:val="%1.%2"/>
      <w:lvlJc w:val="left"/>
      <w:pPr>
        <w:ind w:left="567" w:hanging="567"/>
        <w:tabs>
          <w:tab w:val="num" w:pos="567" w:leader="none"/>
        </w:tabs>
      </w:pPr>
    </w:lvl>
    <w:lvl w:ilvl="2">
      <w:start w:val="1"/>
      <w:numFmt w:val="none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584" w:hanging="1584"/>
        <w:tabs>
          <w:tab w:val="num" w:pos="1584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0"/>
    <w:next w:val="60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0"/>
    <w:next w:val="60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0"/>
    <w:next w:val="60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0"/>
    <w:next w:val="60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0"/>
    <w:next w:val="60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0"/>
    <w:next w:val="60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0"/>
    <w:next w:val="60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0"/>
    <w:next w:val="60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0"/>
    <w:next w:val="60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0"/>
    <w:next w:val="60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1"/>
    <w:link w:val="33"/>
    <w:uiPriority w:val="10"/>
    <w:rPr>
      <w:sz w:val="48"/>
      <w:szCs w:val="48"/>
    </w:rPr>
  </w:style>
  <w:style w:type="paragraph" w:styleId="35">
    <w:name w:val="Subtitle"/>
    <w:basedOn w:val="600"/>
    <w:next w:val="60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1"/>
    <w:link w:val="35"/>
    <w:uiPriority w:val="11"/>
    <w:rPr>
      <w:sz w:val="24"/>
      <w:szCs w:val="24"/>
    </w:rPr>
  </w:style>
  <w:style w:type="paragraph" w:styleId="37">
    <w:name w:val="Quote"/>
    <w:basedOn w:val="600"/>
    <w:next w:val="60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0"/>
    <w:next w:val="60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1"/>
    <w:link w:val="41"/>
    <w:uiPriority w:val="99"/>
  </w:style>
  <w:style w:type="paragraph" w:styleId="43">
    <w:name w:val="Footer"/>
    <w:basedOn w:val="60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1"/>
    <w:link w:val="43"/>
    <w:uiPriority w:val="99"/>
  </w:style>
  <w:style w:type="paragraph" w:styleId="45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1"/>
    <w:uiPriority w:val="99"/>
    <w:unhideWhenUsed/>
    <w:rPr>
      <w:vertAlign w:val="superscript"/>
    </w:rPr>
  </w:style>
  <w:style w:type="paragraph" w:styleId="177">
    <w:name w:val="endnote text"/>
    <w:basedOn w:val="60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1"/>
    <w:uiPriority w:val="99"/>
    <w:semiHidden/>
    <w:unhideWhenUsed/>
    <w:rPr>
      <w:vertAlign w:val="superscript"/>
    </w:rPr>
  </w:style>
  <w:style w:type="paragraph" w:styleId="180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rPr>
      <w:sz w:val="24"/>
      <w:szCs w:val="24"/>
    </w:rPr>
  </w:style>
  <w:style w:type="character" w:styleId="601" w:default="1">
    <w:name w:val="Default Paragraph Font"/>
    <w:link w:val="605"/>
    <w:semiHidden/>
    <w:rPr>
      <w:rFonts w:eastAsia="Calibri"/>
      <w:lang w:val="ru-RU" w:eastAsia="zh-CN" w:bidi="ar-SA"/>
    </w:rPr>
  </w:style>
  <w:style w:type="table" w:styleId="602" w:default="1">
    <w:name w:val="Normal Table"/>
    <w:semiHidden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semiHidden/>
  </w:style>
  <w:style w:type="paragraph" w:styleId="604" w:customStyle="1">
    <w:name w:val="ConsPlusNormal"/>
    <w:pPr>
      <w:ind w:firstLine="720"/>
    </w:pPr>
    <w:rPr>
      <w:rFonts w:ascii="Arial" w:hAnsi="Arial" w:cs="Arial"/>
    </w:rPr>
  </w:style>
  <w:style w:type="paragraph" w:styleId="605" w:customStyle="1">
    <w:name w:val=" Знак Знак Знак"/>
    <w:basedOn w:val="600"/>
    <w:link w:val="601"/>
    <w:pPr>
      <w:numPr>
        <w:ilvl w:val="1"/>
        <w:numId w:val="1"/>
      </w:numPr>
      <w:ind w:left="0" w:firstLine="0"/>
      <w:spacing w:after="160" w:line="240" w:lineRule="exact"/>
      <w:tabs>
        <w:tab w:val="clear" w:pos="567" w:leader="none"/>
      </w:tabs>
    </w:pPr>
    <w:rPr>
      <w:rFonts w:eastAsia="Calibri"/>
      <w:sz w:val="20"/>
      <w:szCs w:val="20"/>
      <w:lang w:eastAsia="zh-CN"/>
    </w:rPr>
  </w:style>
  <w:style w:type="paragraph" w:styleId="606" w:customStyle="1">
    <w:name w:val="Раздел 3"/>
    <w:basedOn w:val="600"/>
    <w:pPr>
      <w:numPr>
        <w:numId w:val="1"/>
      </w:numPr>
      <w:ind w:left="360" w:hanging="360"/>
      <w:jc w:val="center"/>
      <w:spacing w:before="120" w:after="120"/>
      <w:tabs>
        <w:tab w:val="num" w:pos="360" w:leader="none"/>
        <w:tab w:val="clear" w:pos="567" w:leader="none"/>
      </w:tabs>
    </w:pPr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https://login.consultant.ru/link/?req=doc&amp;base=LAW&amp;n=159501&amp;date=01.02.2023" TargetMode="External"/><Relationship Id="rId11" Type="http://schemas.openxmlformats.org/officeDocument/2006/relationships/hyperlink" Target="https://login.consultant.ru/link/?req=doc&amp;base=LAW&amp;n=99661&amp;dst=100004&amp;field=134&amp;date=01.02.2023" TargetMode="External"/><Relationship Id="rId12" Type="http://schemas.openxmlformats.org/officeDocument/2006/relationships/hyperlink" Target="consultantplus://offline/ref=72A6E6B1F5D002E7EDBD9AC8EA0FBB82F83EA29B87ACCA2DAAA71C5BD4EE7122A496C0D72D876CR2r4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ДРБ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revision>3</cp:revision>
  <dcterms:created xsi:type="dcterms:W3CDTF">2016-12-01T06:46:00Z</dcterms:created>
  <dcterms:modified xsi:type="dcterms:W3CDTF">2023-02-01T07:28:21Z</dcterms:modified>
</cp:coreProperties>
</file>